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B9D3" w14:textId="4A3BBBCD" w:rsidR="000F6640" w:rsidRDefault="000F6640" w:rsidP="000F6640">
      <w:pPr>
        <w:pStyle w:val="Nadpis3"/>
        <w:widowControl w:val="0"/>
        <w:numPr>
          <w:ilvl w:val="2"/>
          <w:numId w:val="0"/>
        </w:numPr>
        <w:tabs>
          <w:tab w:val="left" w:pos="0"/>
        </w:tabs>
        <w:suppressAutoHyphens/>
        <w:spacing w:before="0" w:after="40"/>
        <w:jc w:val="both"/>
        <w:rPr>
          <w:rFonts w:ascii="Montserrat" w:eastAsia="Montserrat" w:hAnsi="Montserrat" w:cs="Montserrat"/>
          <w:b/>
          <w:color w:val="1D4C7C"/>
          <w:sz w:val="36"/>
          <w:szCs w:val="36"/>
        </w:rPr>
      </w:pPr>
    </w:p>
    <w:p w14:paraId="6BE6E9ED" w14:textId="77777777" w:rsidR="00A1030E" w:rsidRDefault="00186999" w:rsidP="00A1030E">
      <w:pPr>
        <w:pStyle w:val="Nadpis3"/>
        <w:widowControl w:val="0"/>
        <w:numPr>
          <w:ilvl w:val="2"/>
          <w:numId w:val="0"/>
        </w:num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rFonts w:ascii="Montserrat" w:eastAsia="Montserrat" w:hAnsi="Montserrat" w:cs="Montserrat"/>
          <w:b/>
          <w:color w:val="1D4C7C"/>
          <w:sz w:val="28"/>
          <w:szCs w:val="28"/>
        </w:rPr>
      </w:pPr>
      <w:r w:rsidRPr="00A1030E">
        <w:rPr>
          <w:rFonts w:ascii="Montserrat" w:eastAsia="Montserrat" w:hAnsi="Montserrat" w:cs="Montserrat"/>
          <w:b/>
          <w:color w:val="1D4C7C"/>
          <w:sz w:val="28"/>
          <w:szCs w:val="28"/>
        </w:rPr>
        <w:t xml:space="preserve">Kurz Paliativní péče pro lékaře a všeobecné sestry pečující </w:t>
      </w:r>
    </w:p>
    <w:p w14:paraId="7BBAADC3" w14:textId="2D6A8E6E" w:rsidR="000F6640" w:rsidRPr="00A1030E" w:rsidRDefault="00186999" w:rsidP="00A1030E">
      <w:pPr>
        <w:pStyle w:val="Nadpis3"/>
        <w:widowControl w:val="0"/>
        <w:numPr>
          <w:ilvl w:val="2"/>
          <w:numId w:val="0"/>
        </w:num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rFonts w:ascii="Calibri" w:hAnsi="Calibri" w:cs="Calibri"/>
          <w:b/>
          <w:bCs/>
          <w:sz w:val="28"/>
          <w:szCs w:val="28"/>
        </w:rPr>
      </w:pPr>
      <w:r w:rsidRPr="00A1030E">
        <w:rPr>
          <w:rFonts w:ascii="Montserrat" w:eastAsia="Montserrat" w:hAnsi="Montserrat" w:cs="Montserrat"/>
          <w:b/>
          <w:color w:val="1D4C7C"/>
          <w:sz w:val="28"/>
          <w:szCs w:val="28"/>
        </w:rPr>
        <w:t>o klienty domovů pro seniory a domovů se zvláštním režimem</w:t>
      </w:r>
      <w:bookmarkStart w:id="0" w:name="_heading=h.gjdgxs" w:colFirst="0" w:colLast="0"/>
      <w:bookmarkEnd w:id="0"/>
      <w:r w:rsidR="000F6640" w:rsidRPr="00A1030E">
        <w:rPr>
          <w:rFonts w:ascii="Montserrat" w:eastAsia="Montserrat" w:hAnsi="Montserrat" w:cs="Montserrat"/>
          <w:b/>
          <w:color w:val="1D4C7C"/>
          <w:sz w:val="28"/>
          <w:szCs w:val="28"/>
        </w:rPr>
        <w:t xml:space="preserve"> </w:t>
      </w:r>
    </w:p>
    <w:p w14:paraId="300E3DEE" w14:textId="77777777" w:rsidR="00A1030E" w:rsidRPr="00186999" w:rsidRDefault="00A1030E" w:rsidP="00186999">
      <w:pPr>
        <w:spacing w:after="0"/>
        <w:jc w:val="both"/>
        <w:rPr>
          <w:rFonts w:asciiTheme="majorHAnsi" w:hAnsiTheme="majorHAnsi" w:cs="Calibri"/>
        </w:rPr>
      </w:pPr>
      <w:bookmarkStart w:id="1" w:name="_heading=h.30j0zll" w:colFirst="0" w:colLast="0"/>
      <w:bookmarkStart w:id="2" w:name="_heading=h.81oins8pbsbe" w:colFirst="0" w:colLast="0"/>
      <w:bookmarkEnd w:id="1"/>
      <w:bookmarkEnd w:id="2"/>
    </w:p>
    <w:p w14:paraId="008FC3EE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  <w:b/>
          <w:bCs/>
          <w:color w:val="1D4C7C" w:themeColor="accent1"/>
        </w:rPr>
      </w:pPr>
      <w:r w:rsidRPr="00186999">
        <w:rPr>
          <w:rFonts w:asciiTheme="majorHAnsi" w:hAnsiTheme="majorHAnsi" w:cs="Calibri"/>
          <w:b/>
          <w:bCs/>
          <w:color w:val="1D4C7C" w:themeColor="accent1"/>
        </w:rPr>
        <w:t>Lektoři kurzu:</w:t>
      </w:r>
    </w:p>
    <w:p w14:paraId="265C41D4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</w:rPr>
      </w:pPr>
      <w:r w:rsidRPr="00186999">
        <w:rPr>
          <w:rFonts w:asciiTheme="majorHAnsi" w:hAnsiTheme="majorHAnsi" w:cs="Calibri"/>
        </w:rPr>
        <w:t>MUDr. Kateřina Nová (praktický lékař a paliatr, Sušice)</w:t>
      </w:r>
    </w:p>
    <w:p w14:paraId="3C56169E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</w:rPr>
      </w:pPr>
      <w:r w:rsidRPr="00186999">
        <w:rPr>
          <w:rFonts w:asciiTheme="majorHAnsi" w:hAnsiTheme="majorHAnsi" w:cs="Calibri"/>
        </w:rPr>
        <w:t>MUDr. Regina Slámová (paliatr, Centrum paliativní péče Brno)</w:t>
      </w:r>
    </w:p>
    <w:p w14:paraId="4DAE7E02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</w:rPr>
      </w:pPr>
    </w:p>
    <w:p w14:paraId="3A24E35A" w14:textId="5150BB3B" w:rsidR="00186999" w:rsidRPr="00186999" w:rsidRDefault="00186999" w:rsidP="00186999">
      <w:pPr>
        <w:spacing w:after="0"/>
        <w:jc w:val="both"/>
        <w:rPr>
          <w:rFonts w:asciiTheme="majorHAnsi" w:hAnsiTheme="majorHAnsi" w:cs="Calibri"/>
          <w:b/>
          <w:bCs/>
          <w:color w:val="1D4C7C" w:themeColor="accent1"/>
        </w:rPr>
      </w:pPr>
      <w:r w:rsidRPr="00186999">
        <w:rPr>
          <w:rFonts w:asciiTheme="majorHAnsi" w:hAnsiTheme="majorHAnsi" w:cs="Calibri"/>
          <w:b/>
          <w:bCs/>
          <w:color w:val="1D4C7C" w:themeColor="accent1"/>
        </w:rPr>
        <w:t>Program kurzu</w:t>
      </w:r>
    </w:p>
    <w:p w14:paraId="7712CE30" w14:textId="2DBB542A" w:rsidR="00A1030E" w:rsidRPr="008A4683" w:rsidRDefault="00A1030E" w:rsidP="00A1030E">
      <w:pPr>
        <w:spacing w:after="0"/>
        <w:jc w:val="both"/>
        <w:rPr>
          <w:rFonts w:asciiTheme="majorHAnsi" w:hAnsiTheme="majorHAnsi" w:cs="Calibri"/>
          <w:b/>
          <w:bCs/>
        </w:rPr>
      </w:pPr>
      <w:r w:rsidRPr="008A4683">
        <w:rPr>
          <w:rFonts w:asciiTheme="majorHAnsi" w:hAnsiTheme="majorHAnsi" w:cs="Calibri"/>
          <w:b/>
          <w:bCs/>
        </w:rPr>
        <w:t>I. Individuální plán péče</w:t>
      </w:r>
    </w:p>
    <w:p w14:paraId="5E192309" w14:textId="64FABC97" w:rsidR="00A1030E" w:rsidRPr="00A1030E" w:rsidRDefault="00A1030E" w:rsidP="00A1030E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 xml:space="preserve">Plán péče - </w:t>
      </w:r>
      <w:r>
        <w:rPr>
          <w:rFonts w:asciiTheme="majorHAnsi" w:hAnsiTheme="majorHAnsi" w:cs="Calibri"/>
        </w:rPr>
        <w:t>i</w:t>
      </w:r>
      <w:r w:rsidRPr="00A1030E">
        <w:rPr>
          <w:rFonts w:asciiTheme="majorHAnsi" w:hAnsiTheme="majorHAnsi" w:cs="Calibri"/>
        </w:rPr>
        <w:t>ndividuální plánování péče, jeho význam a možnosti, co obsahuje plán péče, kdo ho tvoří plán péče v různých fázích nemoci, sdílení plánu péče</w:t>
      </w:r>
    </w:p>
    <w:p w14:paraId="056209F5" w14:textId="77777777" w:rsidR="00A1030E" w:rsidRPr="00186999" w:rsidRDefault="00A1030E" w:rsidP="00A1030E">
      <w:pPr>
        <w:spacing w:after="0"/>
        <w:jc w:val="both"/>
        <w:rPr>
          <w:rFonts w:asciiTheme="majorHAnsi" w:hAnsiTheme="majorHAnsi" w:cs="Calibri"/>
        </w:rPr>
      </w:pPr>
    </w:p>
    <w:p w14:paraId="2EC1D453" w14:textId="6194BB2B" w:rsidR="00A1030E" w:rsidRPr="00A1030E" w:rsidRDefault="00A1030E" w:rsidP="00A1030E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 xml:space="preserve">Kazuistiky - </w:t>
      </w:r>
      <w:r>
        <w:rPr>
          <w:rFonts w:asciiTheme="majorHAnsi" w:hAnsiTheme="majorHAnsi" w:cs="Calibri"/>
        </w:rPr>
        <w:t>p</w:t>
      </w:r>
      <w:r w:rsidRPr="00A1030E">
        <w:rPr>
          <w:rFonts w:asciiTheme="majorHAnsi" w:hAnsiTheme="majorHAnsi" w:cs="Calibri"/>
        </w:rPr>
        <w:t>raktický nácvik sestavení plánu péče</w:t>
      </w:r>
    </w:p>
    <w:p w14:paraId="18D3772C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</w:rPr>
      </w:pPr>
    </w:p>
    <w:p w14:paraId="038F997F" w14:textId="31FCE7E4" w:rsidR="00186999" w:rsidRPr="008A4683" w:rsidRDefault="00A1030E" w:rsidP="00186999">
      <w:pPr>
        <w:spacing w:after="0"/>
        <w:jc w:val="both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I</w:t>
      </w:r>
      <w:r w:rsidR="00186999" w:rsidRPr="008A4683">
        <w:rPr>
          <w:rFonts w:asciiTheme="majorHAnsi" w:hAnsiTheme="majorHAnsi" w:cs="Calibri"/>
          <w:b/>
          <w:bCs/>
        </w:rPr>
        <w:t>I. Organizace zdravotní péče v zařízeních DS a DZR</w:t>
      </w:r>
    </w:p>
    <w:p w14:paraId="3FA47A7C" w14:textId="1F14ACD6" w:rsidR="00186999" w:rsidRPr="00A1030E" w:rsidRDefault="00186999" w:rsidP="00A1030E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>Zdravotní péče poskytovaná klientům</w:t>
      </w:r>
      <w:r w:rsidR="00A1030E">
        <w:rPr>
          <w:rFonts w:asciiTheme="majorHAnsi" w:hAnsiTheme="majorHAnsi" w:cs="Calibri"/>
        </w:rPr>
        <w:t xml:space="preserve"> - c</w:t>
      </w:r>
      <w:r w:rsidRPr="00A1030E">
        <w:rPr>
          <w:rFonts w:asciiTheme="majorHAnsi" w:hAnsiTheme="majorHAnsi" w:cs="Calibri"/>
        </w:rPr>
        <w:t>harakteristika a obsah péče na náležité odborné úrovni, role paliativní péče – paliativně</w:t>
      </w:r>
      <w:r w:rsidR="008A4683" w:rsidRPr="00A1030E">
        <w:rPr>
          <w:rFonts w:asciiTheme="majorHAnsi" w:hAnsiTheme="majorHAnsi" w:cs="Calibri"/>
        </w:rPr>
        <w:t xml:space="preserve"> </w:t>
      </w:r>
      <w:r w:rsidRPr="00A1030E">
        <w:rPr>
          <w:rFonts w:asciiTheme="majorHAnsi" w:hAnsiTheme="majorHAnsi" w:cs="Calibri"/>
        </w:rPr>
        <w:t>relevantní diagnosy, možnosti individuálního plánování péče, stanovení prognosy, standardy,</w:t>
      </w:r>
      <w:r w:rsidR="008A4683" w:rsidRPr="00A1030E">
        <w:rPr>
          <w:rFonts w:asciiTheme="majorHAnsi" w:hAnsiTheme="majorHAnsi" w:cs="Calibri"/>
        </w:rPr>
        <w:t xml:space="preserve"> </w:t>
      </w:r>
      <w:r w:rsidRPr="00A1030E">
        <w:rPr>
          <w:rFonts w:asciiTheme="majorHAnsi" w:hAnsiTheme="majorHAnsi" w:cs="Calibri"/>
        </w:rPr>
        <w:t>formy a úrovně paliativní péče</w:t>
      </w:r>
    </w:p>
    <w:p w14:paraId="5A470D82" w14:textId="77777777" w:rsidR="008A4683" w:rsidRPr="008A4683" w:rsidRDefault="008A4683" w:rsidP="008A4683">
      <w:pPr>
        <w:pStyle w:val="Odstavecseseznamem"/>
        <w:spacing w:after="0"/>
        <w:jc w:val="both"/>
        <w:rPr>
          <w:rFonts w:asciiTheme="majorHAnsi" w:hAnsiTheme="majorHAnsi" w:cs="Calibri"/>
        </w:rPr>
      </w:pPr>
    </w:p>
    <w:p w14:paraId="1CAFED0D" w14:textId="4F9D3149" w:rsidR="00186999" w:rsidRPr="00A1030E" w:rsidRDefault="00186999" w:rsidP="00A1030E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>Primární zdravotní péče jako základ pro poskytování paliativní péče</w:t>
      </w:r>
      <w:r w:rsidR="00A1030E">
        <w:rPr>
          <w:rFonts w:asciiTheme="majorHAnsi" w:hAnsiTheme="majorHAnsi" w:cs="Calibri"/>
        </w:rPr>
        <w:t xml:space="preserve"> - ú</w:t>
      </w:r>
      <w:r w:rsidRPr="00A1030E">
        <w:rPr>
          <w:rFonts w:asciiTheme="majorHAnsi" w:hAnsiTheme="majorHAnsi" w:cs="Calibri"/>
        </w:rPr>
        <w:t>loha registrujícího praktického lékaře – možnosti a limity jeho práce, multidisciplinární</w:t>
      </w:r>
      <w:r w:rsidR="008A4683" w:rsidRPr="00A1030E">
        <w:rPr>
          <w:rFonts w:asciiTheme="majorHAnsi" w:hAnsiTheme="majorHAnsi" w:cs="Calibri"/>
        </w:rPr>
        <w:t xml:space="preserve"> </w:t>
      </w:r>
      <w:r w:rsidRPr="00A1030E">
        <w:rPr>
          <w:rFonts w:asciiTheme="majorHAnsi" w:hAnsiTheme="majorHAnsi" w:cs="Calibri"/>
        </w:rPr>
        <w:t>spolupráce, koordinace péče, indikace ošetřovatelské péče, možnosti spolupráce s</w:t>
      </w:r>
      <w:r w:rsidR="008A4683" w:rsidRPr="00A1030E">
        <w:rPr>
          <w:rFonts w:asciiTheme="majorHAnsi" w:hAnsiTheme="majorHAnsi" w:cs="Calibri"/>
        </w:rPr>
        <w:t> </w:t>
      </w:r>
      <w:r w:rsidRPr="00A1030E">
        <w:rPr>
          <w:rFonts w:asciiTheme="majorHAnsi" w:hAnsiTheme="majorHAnsi" w:cs="Calibri"/>
        </w:rPr>
        <w:t>ostatními</w:t>
      </w:r>
      <w:r w:rsidR="008A4683" w:rsidRPr="00A1030E">
        <w:rPr>
          <w:rFonts w:asciiTheme="majorHAnsi" w:hAnsiTheme="majorHAnsi" w:cs="Calibri"/>
        </w:rPr>
        <w:t xml:space="preserve"> </w:t>
      </w:r>
      <w:r w:rsidRPr="00A1030E">
        <w:rPr>
          <w:rFonts w:asciiTheme="majorHAnsi" w:hAnsiTheme="majorHAnsi" w:cs="Calibri"/>
        </w:rPr>
        <w:t>segmenty - nemocnice, ambulantní specialisté, představení modelu péče PL v DS v Sušici</w:t>
      </w:r>
    </w:p>
    <w:p w14:paraId="57AED2FE" w14:textId="77777777" w:rsidR="00186999" w:rsidRPr="00186999" w:rsidRDefault="00186999" w:rsidP="00186999">
      <w:pPr>
        <w:spacing w:after="0"/>
        <w:jc w:val="both"/>
        <w:rPr>
          <w:rFonts w:asciiTheme="majorHAnsi" w:hAnsiTheme="majorHAnsi" w:cs="Calibri"/>
        </w:rPr>
      </w:pPr>
    </w:p>
    <w:p w14:paraId="21A1D955" w14:textId="28DB13EC" w:rsidR="00186999" w:rsidRPr="00A1030E" w:rsidRDefault="00186999" w:rsidP="00A1030E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 xml:space="preserve">Spolupráce </w:t>
      </w:r>
      <w:r w:rsidR="008A4683" w:rsidRPr="00A1030E">
        <w:rPr>
          <w:rFonts w:asciiTheme="majorHAnsi" w:hAnsiTheme="majorHAnsi" w:cs="Calibri"/>
        </w:rPr>
        <w:t xml:space="preserve">praktického lékaře </w:t>
      </w:r>
      <w:r w:rsidRPr="00A1030E">
        <w:rPr>
          <w:rFonts w:asciiTheme="majorHAnsi" w:hAnsiTheme="majorHAnsi" w:cs="Calibri"/>
        </w:rPr>
        <w:t xml:space="preserve">a specializované paliativní péče </w:t>
      </w:r>
      <w:r w:rsidR="00A1030E" w:rsidRPr="00A1030E">
        <w:rPr>
          <w:rFonts w:asciiTheme="majorHAnsi" w:hAnsiTheme="majorHAnsi" w:cs="Calibri"/>
        </w:rPr>
        <w:t xml:space="preserve">- </w:t>
      </w:r>
      <w:r w:rsidRPr="00A1030E">
        <w:rPr>
          <w:rFonts w:asciiTheme="majorHAnsi" w:hAnsiTheme="majorHAnsi" w:cs="Calibri"/>
        </w:rPr>
        <w:t>SPP - mobilní hospic, ambulance paliativní medicín</w:t>
      </w:r>
      <w:r w:rsidR="008A4683" w:rsidRPr="00A1030E">
        <w:rPr>
          <w:rFonts w:asciiTheme="majorHAnsi" w:hAnsiTheme="majorHAnsi" w:cs="Calibri"/>
        </w:rPr>
        <w:t>y</w:t>
      </w:r>
    </w:p>
    <w:p w14:paraId="591B4E0C" w14:textId="77777777" w:rsidR="00186999" w:rsidRDefault="00186999" w:rsidP="00186999">
      <w:pPr>
        <w:spacing w:after="0"/>
        <w:jc w:val="both"/>
        <w:rPr>
          <w:rFonts w:asciiTheme="majorHAnsi" w:hAnsiTheme="majorHAnsi" w:cs="Calibri"/>
        </w:rPr>
      </w:pPr>
    </w:p>
    <w:p w14:paraId="6C3F2BA3" w14:textId="4CCFA0A5" w:rsidR="00186999" w:rsidRPr="00A1030E" w:rsidRDefault="00186999" w:rsidP="00A1030E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 w:cs="Calibri"/>
        </w:rPr>
      </w:pPr>
      <w:r w:rsidRPr="00A1030E">
        <w:rPr>
          <w:rFonts w:asciiTheme="majorHAnsi" w:hAnsiTheme="majorHAnsi" w:cs="Calibri"/>
        </w:rPr>
        <w:t xml:space="preserve">Ekonomika </w:t>
      </w:r>
      <w:r w:rsidR="00A1030E" w:rsidRPr="00A1030E">
        <w:rPr>
          <w:rFonts w:asciiTheme="majorHAnsi" w:hAnsiTheme="majorHAnsi" w:cs="Calibri"/>
        </w:rPr>
        <w:t xml:space="preserve">- </w:t>
      </w:r>
      <w:r w:rsidR="00A1030E">
        <w:rPr>
          <w:rFonts w:asciiTheme="majorHAnsi" w:hAnsiTheme="majorHAnsi" w:cs="Calibri"/>
        </w:rPr>
        <w:t>n</w:t>
      </w:r>
      <w:r w:rsidRPr="00A1030E">
        <w:rPr>
          <w:rFonts w:asciiTheme="majorHAnsi" w:hAnsiTheme="majorHAnsi" w:cs="Calibri"/>
        </w:rPr>
        <w:t xml:space="preserve">áklady, kódy, možnosti preskripce, možnosti vykazování (PL, SPP) </w:t>
      </w:r>
    </w:p>
    <w:p w14:paraId="233FAD8D" w14:textId="77777777" w:rsidR="00A1030E" w:rsidRPr="00186999" w:rsidRDefault="00A1030E" w:rsidP="00186999">
      <w:pPr>
        <w:spacing w:after="0"/>
        <w:jc w:val="both"/>
        <w:rPr>
          <w:rFonts w:asciiTheme="majorHAnsi" w:hAnsiTheme="majorHAnsi" w:cs="Calibri"/>
        </w:rPr>
      </w:pPr>
    </w:p>
    <w:p w14:paraId="02BA2D22" w14:textId="1303486B" w:rsidR="008A4683" w:rsidRDefault="00A1030E" w:rsidP="00186999">
      <w:pPr>
        <w:spacing w:after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Struktura kurzu se může upravit v průběhu kurzu dle očekávání a potřeb účastníků, </w:t>
      </w:r>
      <w:r w:rsidR="00132A78">
        <w:rPr>
          <w:rFonts w:asciiTheme="majorHAnsi" w:hAnsiTheme="majorHAnsi" w:cs="Calibri"/>
        </w:rPr>
        <w:t xml:space="preserve">začátek kurzu </w:t>
      </w:r>
      <w:r w:rsidR="00FD00AC">
        <w:rPr>
          <w:rFonts w:asciiTheme="majorHAnsi" w:hAnsiTheme="majorHAnsi" w:cs="Calibri"/>
        </w:rPr>
        <w:t>9</w:t>
      </w:r>
      <w:r w:rsidR="00132A78">
        <w:rPr>
          <w:rFonts w:asciiTheme="majorHAnsi" w:hAnsiTheme="majorHAnsi" w:cs="Calibri"/>
        </w:rPr>
        <w:t>:00</w:t>
      </w:r>
      <w:r>
        <w:rPr>
          <w:rFonts w:asciiTheme="majorHAnsi" w:hAnsiTheme="majorHAnsi" w:cs="Calibri"/>
        </w:rPr>
        <w:t>, ukončení kurzu 16:00</w:t>
      </w:r>
      <w:r w:rsidR="00132A78">
        <w:rPr>
          <w:rFonts w:asciiTheme="majorHAnsi" w:hAnsiTheme="majorHAnsi" w:cs="Calibri"/>
        </w:rPr>
        <w:t xml:space="preserve"> (dle domluvy).</w:t>
      </w:r>
    </w:p>
    <w:p w14:paraId="3FED7678" w14:textId="77777777" w:rsidR="00132A78" w:rsidRDefault="00132A78" w:rsidP="00186999">
      <w:pPr>
        <w:spacing w:after="0"/>
        <w:jc w:val="both"/>
        <w:rPr>
          <w:rFonts w:asciiTheme="majorHAnsi" w:hAnsiTheme="majorHAnsi" w:cs="Calibri"/>
        </w:rPr>
      </w:pPr>
    </w:p>
    <w:p w14:paraId="2DC834A3" w14:textId="52836BE7" w:rsidR="00132A78" w:rsidRDefault="00132A78" w:rsidP="00132A78">
      <w:pPr>
        <w:spacing w:after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bCs/>
          <w:color w:val="1D4C7C" w:themeColor="accent1"/>
        </w:rPr>
        <w:t xml:space="preserve">Cena </w:t>
      </w:r>
      <w:r w:rsidRPr="00186999">
        <w:rPr>
          <w:rFonts w:asciiTheme="majorHAnsi" w:hAnsiTheme="majorHAnsi" w:cs="Calibri"/>
          <w:b/>
          <w:bCs/>
          <w:color w:val="1D4C7C" w:themeColor="accent1"/>
        </w:rPr>
        <w:t>kurzu:</w:t>
      </w:r>
      <w:r>
        <w:rPr>
          <w:rFonts w:asciiTheme="majorHAnsi" w:hAnsiTheme="majorHAnsi" w:cs="Calibri"/>
          <w:b/>
          <w:bCs/>
          <w:color w:val="1D4C7C" w:themeColor="accent1"/>
        </w:rPr>
        <w:t xml:space="preserve">  </w:t>
      </w:r>
      <w:r>
        <w:rPr>
          <w:rFonts w:asciiTheme="majorHAnsi" w:hAnsiTheme="majorHAnsi" w:cs="Calibri"/>
        </w:rPr>
        <w:t>1.600 Kč/ účastníka</w:t>
      </w:r>
    </w:p>
    <w:p w14:paraId="2C70D471" w14:textId="77777777" w:rsidR="00132A78" w:rsidRDefault="00132A78" w:rsidP="00132A78">
      <w:pPr>
        <w:spacing w:after="0"/>
        <w:jc w:val="both"/>
        <w:rPr>
          <w:rFonts w:asciiTheme="majorHAnsi" w:hAnsiTheme="majorHAnsi" w:cs="Calibri"/>
        </w:rPr>
      </w:pPr>
    </w:p>
    <w:p w14:paraId="14D796FD" w14:textId="10C9E2A0" w:rsidR="00132A78" w:rsidRPr="00A1030E" w:rsidRDefault="00132A78" w:rsidP="00186999">
      <w:pPr>
        <w:spacing w:after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bCs/>
          <w:color w:val="1D4C7C" w:themeColor="accent1"/>
        </w:rPr>
        <w:t>Minimální počet účastníků pro konání kurzu</w:t>
      </w:r>
      <w:r w:rsidRPr="00186999">
        <w:rPr>
          <w:rFonts w:asciiTheme="majorHAnsi" w:hAnsiTheme="majorHAnsi" w:cs="Calibri"/>
          <w:b/>
          <w:bCs/>
          <w:color w:val="1D4C7C" w:themeColor="accent1"/>
        </w:rPr>
        <w:t>:</w:t>
      </w:r>
      <w:r>
        <w:rPr>
          <w:rFonts w:asciiTheme="majorHAnsi" w:hAnsiTheme="majorHAnsi" w:cs="Calibri"/>
          <w:b/>
          <w:bCs/>
          <w:color w:val="1D4C7C" w:themeColor="accent1"/>
        </w:rPr>
        <w:t xml:space="preserve">  </w:t>
      </w:r>
      <w:r>
        <w:rPr>
          <w:rFonts w:asciiTheme="majorHAnsi" w:hAnsiTheme="majorHAnsi" w:cs="Calibri"/>
        </w:rPr>
        <w:t>15</w:t>
      </w:r>
    </w:p>
    <w:sectPr w:rsidR="00132A78" w:rsidRPr="00A1030E">
      <w:footerReference w:type="default" r:id="rId8"/>
      <w:pgSz w:w="11906" w:h="16838"/>
      <w:pgMar w:top="794" w:right="1134" w:bottom="1418" w:left="1588" w:header="113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3AA5" w14:textId="77777777" w:rsidR="00161C5E" w:rsidRDefault="00161C5E">
      <w:pPr>
        <w:spacing w:after="0" w:line="240" w:lineRule="auto"/>
      </w:pPr>
      <w:r>
        <w:separator/>
      </w:r>
    </w:p>
  </w:endnote>
  <w:endnote w:type="continuationSeparator" w:id="0">
    <w:p w14:paraId="316A3DFB" w14:textId="77777777" w:rsidR="00161C5E" w:rsidRDefault="0016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7DD0" w14:textId="77777777" w:rsidR="00D12878" w:rsidRDefault="00FD00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94" w:right="-28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077D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077D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7B3B4FD4" w14:textId="77777777" w:rsidR="00D12878" w:rsidRDefault="00D128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94" w:right="-284"/>
      <w:jc w:val="right"/>
      <w:rPr>
        <w:color w:val="000000"/>
        <w:sz w:val="20"/>
        <w:szCs w:val="20"/>
      </w:rPr>
    </w:pPr>
  </w:p>
  <w:p w14:paraId="2D726BDB" w14:textId="77777777" w:rsidR="00D12878" w:rsidRDefault="00D128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94" w:right="-284"/>
      <w:jc w:val="right"/>
      <w:rPr>
        <w:color w:val="000000"/>
        <w:sz w:val="20"/>
        <w:szCs w:val="20"/>
      </w:rPr>
    </w:pPr>
  </w:p>
  <w:p w14:paraId="19A08382" w14:textId="77777777" w:rsidR="00D12878" w:rsidRDefault="00FD00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37" w:right="-284"/>
      <w:rPr>
        <w:color w:val="000000"/>
        <w:sz w:val="18"/>
        <w:szCs w:val="18"/>
      </w:rPr>
    </w:pPr>
    <w:r>
      <w:rPr>
        <w:noProof/>
        <w:color w:val="000000"/>
        <w:sz w:val="20"/>
        <w:szCs w:val="20"/>
      </w:rPr>
      <w:drawing>
        <wp:inline distT="0" distB="0" distL="0" distR="0" wp14:anchorId="5206F006" wp14:editId="6F32F21D">
          <wp:extent cx="5831840" cy="62205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1840" cy="62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E1C8A0" w14:textId="77777777" w:rsidR="00D12878" w:rsidRDefault="00D128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37" w:right="-284"/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25FD" w14:textId="77777777" w:rsidR="00161C5E" w:rsidRDefault="00161C5E">
      <w:pPr>
        <w:spacing w:after="0" w:line="240" w:lineRule="auto"/>
      </w:pPr>
      <w:r>
        <w:separator/>
      </w:r>
    </w:p>
  </w:footnote>
  <w:footnote w:type="continuationSeparator" w:id="0">
    <w:p w14:paraId="76038A17" w14:textId="77777777" w:rsidR="00161C5E" w:rsidRDefault="0016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E97"/>
    <w:multiLevelType w:val="multilevel"/>
    <w:tmpl w:val="8EEA3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14968"/>
    <w:multiLevelType w:val="hybridMultilevel"/>
    <w:tmpl w:val="29806A8A"/>
    <w:lvl w:ilvl="0" w:tplc="C8969DAA">
      <w:start w:val="1"/>
      <w:numFmt w:val="bullet"/>
      <w:lvlText w:val="-"/>
      <w:lvlJc w:val="left"/>
      <w:pPr>
        <w:ind w:left="720" w:hanging="360"/>
      </w:pPr>
      <w:rPr>
        <w:rFonts w:ascii="Montserrat" w:eastAsia="Montserrat" w:hAnsi="Montserra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2E6"/>
    <w:multiLevelType w:val="hybridMultilevel"/>
    <w:tmpl w:val="3F62E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60A9"/>
    <w:multiLevelType w:val="hybridMultilevel"/>
    <w:tmpl w:val="32148890"/>
    <w:lvl w:ilvl="0" w:tplc="3BA8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BAF"/>
    <w:multiLevelType w:val="multilevel"/>
    <w:tmpl w:val="F36E7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5D0A6B"/>
    <w:multiLevelType w:val="hybridMultilevel"/>
    <w:tmpl w:val="AA1801F2"/>
    <w:lvl w:ilvl="0" w:tplc="261C6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261F"/>
    <w:multiLevelType w:val="hybridMultilevel"/>
    <w:tmpl w:val="D0C0CC0C"/>
    <w:lvl w:ilvl="0" w:tplc="1FE29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2395"/>
    <w:multiLevelType w:val="hybridMultilevel"/>
    <w:tmpl w:val="23E4556C"/>
    <w:lvl w:ilvl="0" w:tplc="E4948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1467">
    <w:abstractNumId w:val="0"/>
  </w:num>
  <w:num w:numId="2" w16cid:durableId="1929851363">
    <w:abstractNumId w:val="4"/>
  </w:num>
  <w:num w:numId="3" w16cid:durableId="778525354">
    <w:abstractNumId w:val="7"/>
  </w:num>
  <w:num w:numId="4" w16cid:durableId="1593465818">
    <w:abstractNumId w:val="5"/>
  </w:num>
  <w:num w:numId="5" w16cid:durableId="1808277165">
    <w:abstractNumId w:val="6"/>
  </w:num>
  <w:num w:numId="6" w16cid:durableId="820732357">
    <w:abstractNumId w:val="3"/>
  </w:num>
  <w:num w:numId="7" w16cid:durableId="1430782971">
    <w:abstractNumId w:val="1"/>
  </w:num>
  <w:num w:numId="8" w16cid:durableId="131861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78"/>
    <w:rsid w:val="000F6640"/>
    <w:rsid w:val="00132A78"/>
    <w:rsid w:val="00161C5E"/>
    <w:rsid w:val="00186999"/>
    <w:rsid w:val="002C6D00"/>
    <w:rsid w:val="0038616D"/>
    <w:rsid w:val="004E33A6"/>
    <w:rsid w:val="005551D1"/>
    <w:rsid w:val="00677BFD"/>
    <w:rsid w:val="00692FEA"/>
    <w:rsid w:val="00732512"/>
    <w:rsid w:val="008A4683"/>
    <w:rsid w:val="00A1030E"/>
    <w:rsid w:val="00B67CFC"/>
    <w:rsid w:val="00BB28C7"/>
    <w:rsid w:val="00D12878"/>
    <w:rsid w:val="00DD013F"/>
    <w:rsid w:val="00F077D3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46E2"/>
  <w15:docId w15:val="{48816226-E88C-4C15-B961-1B21BB8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cs-CZ" w:eastAsia="cs-CZ" w:bidi="ar-SA"/>
      </w:rPr>
    </w:rPrDefault>
    <w:pPrDefault>
      <w:pPr>
        <w:spacing w:after="340" w:line="30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47"/>
    <w:pPr>
      <w:spacing w:line="307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5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4C7C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4C7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5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D4C7C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C7C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54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C7C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4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E253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9549A"/>
    <w:pPr>
      <w:spacing w:after="60" w:line="240" w:lineRule="auto"/>
      <w:contextualSpacing/>
    </w:pPr>
    <w:rPr>
      <w:rFonts w:asciiTheme="majorHAnsi" w:eastAsiaTheme="majorEastAsia" w:hAnsiTheme="majorHAnsi" w:cstheme="majorBidi"/>
      <w:b/>
      <w:color w:val="1D4C7C" w:themeColor="accent1"/>
      <w:kern w:val="28"/>
      <w:sz w:val="3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0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CD"/>
  </w:style>
  <w:style w:type="paragraph" w:styleId="Zpat">
    <w:name w:val="footer"/>
    <w:basedOn w:val="Normln"/>
    <w:link w:val="ZpatChar"/>
    <w:uiPriority w:val="99"/>
    <w:unhideWhenUsed/>
    <w:rsid w:val="0011345A"/>
    <w:pPr>
      <w:tabs>
        <w:tab w:val="center" w:pos="4536"/>
        <w:tab w:val="right" w:pos="9072"/>
      </w:tabs>
      <w:spacing w:after="0" w:line="240" w:lineRule="auto"/>
      <w:ind w:left="-794" w:right="-284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1345A"/>
    <w:rPr>
      <w:sz w:val="18"/>
    </w:rPr>
  </w:style>
  <w:style w:type="character" w:customStyle="1" w:styleId="NzevChar">
    <w:name w:val="Název Char"/>
    <w:basedOn w:val="Standardnpsmoodstavce"/>
    <w:link w:val="Nzev"/>
    <w:uiPriority w:val="10"/>
    <w:rsid w:val="00F9549A"/>
    <w:rPr>
      <w:rFonts w:asciiTheme="majorHAnsi" w:eastAsiaTheme="majorEastAsia" w:hAnsiTheme="majorHAnsi" w:cstheme="majorBidi"/>
      <w:b/>
      <w:color w:val="1D4C7C" w:themeColor="accent1"/>
      <w:kern w:val="28"/>
      <w:sz w:val="36"/>
      <w:szCs w:val="56"/>
    </w:rPr>
  </w:style>
  <w:style w:type="paragraph" w:styleId="Bezmezer">
    <w:name w:val="No Spacing"/>
    <w:uiPriority w:val="1"/>
    <w:qFormat/>
    <w:rsid w:val="0087108B"/>
    <w:pPr>
      <w:spacing w:after="0" w:line="307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single" w:sz="12" w:space="16" w:color="1D4C7C"/>
        <w:right w:val="nil"/>
        <w:between w:val="nil"/>
      </w:pBdr>
      <w:spacing w:after="320" w:line="276" w:lineRule="auto"/>
    </w:pPr>
    <w:rPr>
      <w:color w:val="1D4C7C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81B43"/>
    <w:rPr>
      <w:rFonts w:eastAsiaTheme="minorEastAsia"/>
      <w:color w:val="1D4C7C" w:themeColor="accent1"/>
      <w:sz w:val="26"/>
    </w:rPr>
  </w:style>
  <w:style w:type="character" w:customStyle="1" w:styleId="Nadpis1Char">
    <w:name w:val="Nadpis 1 Char"/>
    <w:basedOn w:val="Standardnpsmoodstavce"/>
    <w:link w:val="Nadpis1"/>
    <w:uiPriority w:val="9"/>
    <w:rsid w:val="00F9549A"/>
    <w:rPr>
      <w:rFonts w:asciiTheme="majorHAnsi" w:eastAsiaTheme="majorEastAsia" w:hAnsiTheme="majorHAnsi" w:cstheme="majorBidi"/>
      <w:color w:val="1D4C7C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549A"/>
    <w:rPr>
      <w:rFonts w:asciiTheme="majorHAnsi" w:eastAsiaTheme="majorEastAsia" w:hAnsiTheme="majorHAnsi" w:cstheme="majorBidi"/>
      <w:color w:val="1D4C7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549A"/>
    <w:rPr>
      <w:rFonts w:asciiTheme="majorHAnsi" w:eastAsiaTheme="majorEastAsia" w:hAnsiTheme="majorHAnsi" w:cstheme="majorBidi"/>
      <w:color w:val="1D4C7C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9549A"/>
    <w:rPr>
      <w:rFonts w:asciiTheme="majorHAnsi" w:eastAsiaTheme="majorEastAsia" w:hAnsiTheme="majorHAnsi" w:cstheme="majorBidi"/>
      <w:i/>
      <w:iCs/>
      <w:color w:val="1D4C7C" w:themeColor="accent1"/>
      <w:sz w:val="21"/>
    </w:rPr>
  </w:style>
  <w:style w:type="character" w:customStyle="1" w:styleId="Nadpis5Char">
    <w:name w:val="Nadpis 5 Char"/>
    <w:basedOn w:val="Standardnpsmoodstavce"/>
    <w:link w:val="Nadpis5"/>
    <w:uiPriority w:val="9"/>
    <w:rsid w:val="00F9549A"/>
    <w:rPr>
      <w:rFonts w:asciiTheme="majorHAnsi" w:eastAsiaTheme="majorEastAsia" w:hAnsiTheme="majorHAnsi" w:cstheme="majorBidi"/>
      <w:color w:val="1D4C7C" w:themeColor="accent1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49A"/>
    <w:rPr>
      <w:rFonts w:asciiTheme="majorHAnsi" w:eastAsiaTheme="majorEastAsia" w:hAnsiTheme="majorHAnsi" w:cstheme="majorBidi"/>
      <w:color w:val="0E253D" w:themeColor="accent1" w:themeShade="7F"/>
      <w:sz w:val="21"/>
    </w:rPr>
  </w:style>
  <w:style w:type="paragraph" w:styleId="Odstavecseseznamem">
    <w:name w:val="List Paragraph"/>
    <w:basedOn w:val="Normln"/>
    <w:uiPriority w:val="34"/>
    <w:qFormat/>
    <w:rsid w:val="000F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SP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C7C"/>
      </a:accent1>
      <a:accent2>
        <a:srgbClr val="66CEEF"/>
      </a:accent2>
      <a:accent3>
        <a:srgbClr val="A5A5A5"/>
      </a:accent3>
      <a:accent4>
        <a:srgbClr val="A8D08D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SPM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c004x9lQhZw028J9j187awdhA==">AMUW2mVifb8oTBYcB4M4bt+VU5eU2tjdr9RkyXP2D4oq0q+JYhRLb3UMy4TVxvwiNeXvX5w4qr3tRuGLqwuwXLd8RTHkMAHN5teOkdoxdVUnyItswb0qhYVNJSMVNV9QBiYUNNMK0Fc6fhFWYlTGVej3vChyxDGmuHnbJJOodq9p1230d7Zf5cr+noj5NVhlqTv+L5Xsw7OLZdkvHlQFdET7p0BVmSA1gJFVVx23orF+ZDvxr1TuAftozRHGECM0bHWTl0F0gp7FsJSHbCRDxqQPzWM2ND5AOssENr5aG5/zVo6ct7GYdZ2R32VMEm0n6rD+OLZzkybyBmlJJ62jK+zjXgWWQNWjFmyLC9bNWsg4pu7HIdusnH5BcDMQWu7enCrDDfIobS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</dc:creator>
  <cp:lastModifiedBy>Kabelka Ladislav MUDr., PhD.</cp:lastModifiedBy>
  <cp:revision>7</cp:revision>
  <cp:lastPrinted>2023-09-27T09:55:00Z</cp:lastPrinted>
  <dcterms:created xsi:type="dcterms:W3CDTF">2023-08-28T19:01:00Z</dcterms:created>
  <dcterms:modified xsi:type="dcterms:W3CDTF">2023-11-06T09:29:00Z</dcterms:modified>
</cp:coreProperties>
</file>